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01B5" w14:textId="0C71F15B" w:rsidR="00196D21" w:rsidRDefault="00F5371C" w:rsidP="00247DC9">
      <w:pPr>
        <w:spacing w:after="0"/>
        <w:jc w:val="center"/>
        <w:rPr>
          <w:rFonts w:ascii="Bariol Bold" w:hAnsi="Bariol Bold"/>
          <w:b/>
          <w:color w:val="51338B"/>
          <w:sz w:val="30"/>
        </w:rPr>
      </w:pPr>
      <w:r>
        <w:rPr>
          <w:rFonts w:ascii="Bariol Bold" w:hAnsi="Bariol Bold"/>
          <w:b/>
          <w:color w:val="51338B"/>
          <w:sz w:val="30"/>
        </w:rPr>
        <w:t>O co zadbać w procesie</w:t>
      </w:r>
      <w:r w:rsidR="00A36FCA">
        <w:rPr>
          <w:rFonts w:ascii="Bariol Bold" w:hAnsi="Bariol Bold"/>
          <w:b/>
          <w:color w:val="51338B"/>
          <w:sz w:val="30"/>
        </w:rPr>
        <w:t xml:space="preserve"> powrotu do z</w:t>
      </w:r>
      <w:r w:rsidR="00196D21" w:rsidRPr="00196D21">
        <w:rPr>
          <w:rFonts w:ascii="Bariol Bold" w:hAnsi="Bariol Bold"/>
          <w:b/>
          <w:color w:val="51338B"/>
          <w:sz w:val="30"/>
        </w:rPr>
        <w:t>drowia po operacji</w:t>
      </w:r>
      <w:r w:rsidR="00A36FCA">
        <w:rPr>
          <w:rFonts w:ascii="Bariol Bold" w:hAnsi="Bariol Bold"/>
          <w:b/>
          <w:color w:val="51338B"/>
          <w:sz w:val="30"/>
        </w:rPr>
        <w:t>?</w:t>
      </w:r>
    </w:p>
    <w:p w14:paraId="372F1207" w14:textId="71BE3876" w:rsidR="009457F6" w:rsidRPr="00B31C2D" w:rsidRDefault="00A36FCA" w:rsidP="00247DC9">
      <w:pPr>
        <w:spacing w:after="0"/>
        <w:jc w:val="center"/>
        <w:rPr>
          <w:rFonts w:ascii="Bariol Bold" w:hAnsi="Bariol Bold"/>
          <w:b/>
          <w:color w:val="51338B"/>
          <w:sz w:val="28"/>
          <w:szCs w:val="20"/>
        </w:rPr>
      </w:pPr>
      <w:r>
        <w:rPr>
          <w:rFonts w:ascii="Bariol Bold" w:hAnsi="Bariol Bold"/>
          <w:b/>
          <w:color w:val="633EAC"/>
          <w:sz w:val="26"/>
          <w:szCs w:val="18"/>
        </w:rPr>
        <w:t>Dowiedz się, jak</w:t>
      </w:r>
      <w:r w:rsidR="00B31C2D" w:rsidRPr="00B31C2D">
        <w:rPr>
          <w:rFonts w:ascii="Bariol Bold" w:hAnsi="Bariol Bold"/>
          <w:b/>
          <w:color w:val="633EAC"/>
          <w:sz w:val="26"/>
          <w:szCs w:val="18"/>
        </w:rPr>
        <w:t xml:space="preserve"> wesprze</w:t>
      </w:r>
      <w:r>
        <w:rPr>
          <w:rFonts w:ascii="Bariol Bold" w:hAnsi="Bariol Bold"/>
          <w:b/>
          <w:color w:val="633EAC"/>
          <w:sz w:val="26"/>
          <w:szCs w:val="18"/>
        </w:rPr>
        <w:t>ć</w:t>
      </w:r>
      <w:r w:rsidR="00B31C2D" w:rsidRPr="00B31C2D">
        <w:rPr>
          <w:rFonts w:ascii="Bariol Bold" w:hAnsi="Bariol Bold"/>
          <w:b/>
          <w:color w:val="633EAC"/>
          <w:sz w:val="26"/>
          <w:szCs w:val="18"/>
        </w:rPr>
        <w:t xml:space="preserve"> organizm w </w:t>
      </w:r>
      <w:r>
        <w:rPr>
          <w:rFonts w:ascii="Bariol Bold" w:hAnsi="Bariol Bold"/>
          <w:b/>
          <w:color w:val="633EAC"/>
          <w:sz w:val="26"/>
          <w:szCs w:val="18"/>
        </w:rPr>
        <w:t>okresie</w:t>
      </w:r>
      <w:r w:rsidR="00B31C2D" w:rsidRPr="00B31C2D">
        <w:rPr>
          <w:rFonts w:ascii="Bariol Bold" w:hAnsi="Bariol Bold"/>
          <w:b/>
          <w:color w:val="633EAC"/>
          <w:sz w:val="26"/>
          <w:szCs w:val="18"/>
        </w:rPr>
        <w:t xml:space="preserve"> rekonwalescencji</w:t>
      </w:r>
    </w:p>
    <w:p w14:paraId="3F2E5BE3" w14:textId="77777777" w:rsidR="00146C10" w:rsidRDefault="00146C10" w:rsidP="00DF24DC">
      <w:pPr>
        <w:jc w:val="both"/>
        <w:rPr>
          <w:rFonts w:ascii="Bariol Bold" w:hAnsi="Bariol Bold"/>
          <w:color w:val="51338B"/>
          <w:sz w:val="28"/>
        </w:rPr>
      </w:pPr>
    </w:p>
    <w:p w14:paraId="4937A2A6" w14:textId="30BE1C81" w:rsidR="00196D21" w:rsidRPr="00B43BB9" w:rsidRDefault="00196D21" w:rsidP="00196D21">
      <w:pPr>
        <w:jc w:val="both"/>
        <w:rPr>
          <w:b/>
          <w:color w:val="6E6E6E"/>
        </w:rPr>
      </w:pPr>
      <w:r w:rsidRPr="00B43BB9">
        <w:rPr>
          <w:b/>
          <w:color w:val="6E6E6E"/>
        </w:rPr>
        <w:t xml:space="preserve">Każda choroba i każdy zabieg operacyjny stanowią poważne obciążenie dla organizmu i niosą ze sobą ryzyko powikłań. </w:t>
      </w:r>
      <w:r w:rsidR="00B43BB9" w:rsidRPr="00B43BB9">
        <w:rPr>
          <w:b/>
          <w:color w:val="6E6E6E"/>
        </w:rPr>
        <w:t>Powrót do zdrowia po ciężkiej chorobie lub operacji wymaga czasu, a nierzadko także wsparcia wielospecjalistycznego zespołu medycznego</w:t>
      </w:r>
      <w:r w:rsidR="00B43BB9">
        <w:rPr>
          <w:b/>
          <w:color w:val="6E6E6E"/>
        </w:rPr>
        <w:t>. Także sam pacjent ma ogromny wpływ na wsparcie swojego organizmu w procesie rekonwalescencji. E</w:t>
      </w:r>
      <w:r w:rsidR="00B43BB9" w:rsidRPr="00B43BB9">
        <w:rPr>
          <w:b/>
          <w:color w:val="6E6E6E"/>
        </w:rPr>
        <w:t>ksper</w:t>
      </w:r>
      <w:r w:rsidR="00AB28F8">
        <w:rPr>
          <w:b/>
          <w:color w:val="6E6E6E"/>
        </w:rPr>
        <w:t>ci</w:t>
      </w:r>
      <w:r w:rsidR="00B43BB9" w:rsidRPr="00B43BB9">
        <w:rPr>
          <w:b/>
          <w:color w:val="6E6E6E"/>
        </w:rPr>
        <w:t xml:space="preserve"> kampanii edukacyjnej „Twoje posiłki w walce </w:t>
      </w:r>
      <w:r w:rsidR="006630EB">
        <w:rPr>
          <w:b/>
          <w:color w:val="6E6E6E"/>
        </w:rPr>
        <w:br/>
      </w:r>
      <w:r w:rsidR="00B43BB9" w:rsidRPr="00B43BB9">
        <w:rPr>
          <w:b/>
          <w:color w:val="6E6E6E"/>
        </w:rPr>
        <w:t>z chorobą” Fundacji Nutricia podpowiada</w:t>
      </w:r>
      <w:r w:rsidR="00B43BB9">
        <w:rPr>
          <w:b/>
          <w:color w:val="6E6E6E"/>
        </w:rPr>
        <w:t>ją</w:t>
      </w:r>
      <w:r w:rsidR="00B43BB9" w:rsidRPr="00B43BB9">
        <w:rPr>
          <w:b/>
          <w:color w:val="6E6E6E"/>
        </w:rPr>
        <w:t xml:space="preserve">, </w:t>
      </w:r>
      <w:r w:rsidR="00B43BB9">
        <w:rPr>
          <w:b/>
          <w:color w:val="6E6E6E"/>
        </w:rPr>
        <w:t>czego unikać</w:t>
      </w:r>
      <w:r w:rsidR="00F705DF">
        <w:rPr>
          <w:b/>
          <w:color w:val="6E6E6E"/>
        </w:rPr>
        <w:t xml:space="preserve"> i o co zadbać</w:t>
      </w:r>
      <w:r w:rsidR="00B43BB9">
        <w:rPr>
          <w:b/>
          <w:color w:val="6E6E6E"/>
        </w:rPr>
        <w:t xml:space="preserve">, aby </w:t>
      </w:r>
      <w:r w:rsidR="00554A7D">
        <w:rPr>
          <w:b/>
          <w:color w:val="6E6E6E"/>
        </w:rPr>
        <w:t xml:space="preserve">zwiększyć szansę na </w:t>
      </w:r>
      <w:r w:rsidRPr="00B43BB9">
        <w:rPr>
          <w:b/>
          <w:color w:val="6E6E6E"/>
        </w:rPr>
        <w:t>przyspiesz</w:t>
      </w:r>
      <w:r w:rsidR="00554A7D">
        <w:rPr>
          <w:b/>
          <w:color w:val="6E6E6E"/>
        </w:rPr>
        <w:t>enie</w:t>
      </w:r>
      <w:r w:rsidRPr="00B43BB9">
        <w:rPr>
          <w:b/>
          <w:color w:val="6E6E6E"/>
        </w:rPr>
        <w:t xml:space="preserve"> regeneracj</w:t>
      </w:r>
      <w:r w:rsidR="00554A7D">
        <w:rPr>
          <w:b/>
          <w:color w:val="6E6E6E"/>
        </w:rPr>
        <w:t>i</w:t>
      </w:r>
      <w:r w:rsidR="00F705DF">
        <w:rPr>
          <w:b/>
          <w:color w:val="6E6E6E"/>
        </w:rPr>
        <w:t xml:space="preserve"> organizmu</w:t>
      </w:r>
      <w:r w:rsidRPr="00B43BB9">
        <w:rPr>
          <w:b/>
          <w:color w:val="6E6E6E"/>
        </w:rPr>
        <w:t xml:space="preserve">, </w:t>
      </w:r>
      <w:r w:rsidR="00F705DF">
        <w:rPr>
          <w:b/>
          <w:color w:val="6E6E6E"/>
        </w:rPr>
        <w:t>pozytywn</w:t>
      </w:r>
      <w:r w:rsidR="00554A7D">
        <w:rPr>
          <w:b/>
          <w:color w:val="6E6E6E"/>
        </w:rPr>
        <w:t>y wpływ</w:t>
      </w:r>
      <w:r w:rsidR="00F705DF">
        <w:rPr>
          <w:b/>
          <w:color w:val="6E6E6E"/>
        </w:rPr>
        <w:t xml:space="preserve"> na </w:t>
      </w:r>
      <w:r w:rsidRPr="00B43BB9">
        <w:rPr>
          <w:b/>
          <w:color w:val="6E6E6E"/>
        </w:rPr>
        <w:t xml:space="preserve">jakość życia </w:t>
      </w:r>
      <w:r w:rsidR="00B43BB9" w:rsidRPr="00B43BB9">
        <w:rPr>
          <w:b/>
          <w:color w:val="6E6E6E"/>
        </w:rPr>
        <w:t xml:space="preserve">i </w:t>
      </w:r>
      <w:r w:rsidRPr="00B43BB9">
        <w:rPr>
          <w:b/>
          <w:color w:val="6E6E6E"/>
        </w:rPr>
        <w:t>zmniejsz</w:t>
      </w:r>
      <w:r w:rsidR="00554A7D">
        <w:rPr>
          <w:b/>
          <w:color w:val="6E6E6E"/>
        </w:rPr>
        <w:t>enie</w:t>
      </w:r>
      <w:r w:rsidRPr="00B43BB9">
        <w:rPr>
          <w:b/>
          <w:color w:val="6E6E6E"/>
        </w:rPr>
        <w:t xml:space="preserve"> ryzyk</w:t>
      </w:r>
      <w:r w:rsidR="00554A7D">
        <w:rPr>
          <w:b/>
          <w:color w:val="6E6E6E"/>
        </w:rPr>
        <w:t>a</w:t>
      </w:r>
      <w:r w:rsidRPr="00B43BB9">
        <w:rPr>
          <w:b/>
          <w:color w:val="6E6E6E"/>
        </w:rPr>
        <w:t xml:space="preserve"> powikłań</w:t>
      </w:r>
      <w:r w:rsidR="00B43BB9">
        <w:rPr>
          <w:b/>
          <w:color w:val="6E6E6E"/>
        </w:rPr>
        <w:t xml:space="preserve"> w</w:t>
      </w:r>
      <w:r w:rsidR="0010274E">
        <w:rPr>
          <w:b/>
          <w:color w:val="6E6E6E"/>
        </w:rPr>
        <w:t> </w:t>
      </w:r>
      <w:r w:rsidR="00B43BB9">
        <w:rPr>
          <w:b/>
          <w:color w:val="6E6E6E"/>
        </w:rPr>
        <w:t xml:space="preserve">przyszłości. </w:t>
      </w:r>
      <w:r w:rsidRPr="00196D21">
        <w:rPr>
          <w:bCs/>
          <w:color w:val="6E6E6E"/>
        </w:rPr>
        <w:t xml:space="preserve">  </w:t>
      </w:r>
    </w:p>
    <w:p w14:paraId="0913E7B9" w14:textId="59694D9A" w:rsidR="00196D21" w:rsidRPr="00196D21" w:rsidRDefault="00196D21" w:rsidP="00196D21">
      <w:pPr>
        <w:jc w:val="both"/>
        <w:rPr>
          <w:b/>
          <w:color w:val="6E6E6E"/>
        </w:rPr>
      </w:pPr>
      <w:r w:rsidRPr="00196D21">
        <w:rPr>
          <w:b/>
          <w:color w:val="6E6E6E"/>
        </w:rPr>
        <w:t>Nie zaniedbuj żywi</w:t>
      </w:r>
      <w:r w:rsidR="00554A7D">
        <w:rPr>
          <w:b/>
          <w:color w:val="6E6E6E"/>
        </w:rPr>
        <w:t>e</w:t>
      </w:r>
      <w:r w:rsidRPr="00196D21">
        <w:rPr>
          <w:b/>
          <w:color w:val="6E6E6E"/>
        </w:rPr>
        <w:t>nia</w:t>
      </w:r>
    </w:p>
    <w:p w14:paraId="240106A3" w14:textId="21B3E15B" w:rsidR="00196D21" w:rsidRPr="00196D21" w:rsidRDefault="00123F5D" w:rsidP="00196D21">
      <w:pPr>
        <w:jc w:val="both"/>
        <w:rPr>
          <w:bCs/>
          <w:color w:val="6E6E6E"/>
        </w:rPr>
      </w:pPr>
      <w:r w:rsidRPr="00196D21">
        <w:rPr>
          <w:bCs/>
          <w:color w:val="6E6E6E"/>
        </w:rPr>
        <w:t xml:space="preserve">Odpowiedni sposób żywienia </w:t>
      </w:r>
      <w:r>
        <w:rPr>
          <w:bCs/>
          <w:color w:val="6E6E6E"/>
        </w:rPr>
        <w:t>jest nie</w:t>
      </w:r>
      <w:r w:rsidR="00056357">
        <w:rPr>
          <w:bCs/>
          <w:color w:val="6E6E6E"/>
        </w:rPr>
        <w:t>zwykle ważny</w:t>
      </w:r>
      <w:r>
        <w:rPr>
          <w:bCs/>
          <w:color w:val="6E6E6E"/>
        </w:rPr>
        <w:t xml:space="preserve"> w </w:t>
      </w:r>
      <w:r w:rsidRPr="00196D21">
        <w:rPr>
          <w:bCs/>
          <w:color w:val="6E6E6E"/>
        </w:rPr>
        <w:t>powr</w:t>
      </w:r>
      <w:r>
        <w:rPr>
          <w:bCs/>
          <w:color w:val="6E6E6E"/>
        </w:rPr>
        <w:t>ocie</w:t>
      </w:r>
      <w:r w:rsidRPr="00196D21">
        <w:rPr>
          <w:bCs/>
          <w:color w:val="6E6E6E"/>
        </w:rPr>
        <w:t xml:space="preserve"> do zdrowia</w:t>
      </w:r>
      <w:r>
        <w:rPr>
          <w:bCs/>
          <w:color w:val="6E6E6E"/>
        </w:rPr>
        <w:t xml:space="preserve">, a także </w:t>
      </w:r>
      <w:r w:rsidR="00F705DF">
        <w:rPr>
          <w:bCs/>
          <w:color w:val="6E6E6E"/>
        </w:rPr>
        <w:t xml:space="preserve">pozytywnie wpływa na </w:t>
      </w:r>
      <w:r>
        <w:rPr>
          <w:bCs/>
          <w:color w:val="6E6E6E"/>
        </w:rPr>
        <w:t>wiele procesów rekonwalescencyjnych</w:t>
      </w:r>
      <w:r w:rsidR="00F705DF">
        <w:rPr>
          <w:bCs/>
          <w:color w:val="6E6E6E"/>
        </w:rPr>
        <w:t>, n</w:t>
      </w:r>
      <w:r>
        <w:rPr>
          <w:bCs/>
          <w:color w:val="6E6E6E"/>
        </w:rPr>
        <w:t>a przykład gojenie ran. K</w:t>
      </w:r>
      <w:r w:rsidR="00196D21" w:rsidRPr="00196D21">
        <w:rPr>
          <w:bCs/>
          <w:color w:val="6E6E6E"/>
        </w:rPr>
        <w:t>ażdy zabieg operacyjny wiąże się z</w:t>
      </w:r>
      <w:r w:rsidR="00251D47">
        <w:rPr>
          <w:bCs/>
          <w:color w:val="6E6E6E"/>
        </w:rPr>
        <w:t> </w:t>
      </w:r>
      <w:r w:rsidR="00196D21" w:rsidRPr="00196D21">
        <w:rPr>
          <w:bCs/>
          <w:color w:val="6E6E6E"/>
        </w:rPr>
        <w:t xml:space="preserve">powstaniem bardziej lub mniej rozległych ran, </w:t>
      </w:r>
      <w:r w:rsidR="00F705DF">
        <w:rPr>
          <w:bCs/>
          <w:color w:val="6E6E6E"/>
        </w:rPr>
        <w:t xml:space="preserve">a w przypadku </w:t>
      </w:r>
      <w:r w:rsidR="00554A7D">
        <w:rPr>
          <w:bCs/>
          <w:color w:val="6E6E6E"/>
        </w:rPr>
        <w:t xml:space="preserve">konieczności </w:t>
      </w:r>
      <w:r w:rsidR="00F705DF">
        <w:rPr>
          <w:bCs/>
          <w:color w:val="6E6E6E"/>
        </w:rPr>
        <w:t>długiego okresu przebywania w</w:t>
      </w:r>
      <w:r w:rsidR="00251D47">
        <w:rPr>
          <w:bCs/>
          <w:color w:val="6E6E6E"/>
        </w:rPr>
        <w:t> </w:t>
      </w:r>
      <w:r w:rsidR="00F705DF">
        <w:rPr>
          <w:bCs/>
          <w:color w:val="6E6E6E"/>
        </w:rPr>
        <w:t>pozycji leżącej,</w:t>
      </w:r>
      <w:r w:rsidR="00196D21" w:rsidRPr="00196D21">
        <w:rPr>
          <w:bCs/>
          <w:color w:val="6E6E6E"/>
        </w:rPr>
        <w:t xml:space="preserve"> również </w:t>
      </w:r>
      <w:r w:rsidR="00554A7D">
        <w:rPr>
          <w:bCs/>
          <w:color w:val="6E6E6E"/>
        </w:rPr>
        <w:t xml:space="preserve">ryzyka wystąpienia </w:t>
      </w:r>
      <w:r w:rsidR="00196D21" w:rsidRPr="00196D21">
        <w:rPr>
          <w:bCs/>
          <w:color w:val="6E6E6E"/>
        </w:rPr>
        <w:t xml:space="preserve">odleżyn. Na skutek powstałego urazu </w:t>
      </w:r>
      <w:r w:rsidR="00554A7D">
        <w:rPr>
          <w:bCs/>
          <w:color w:val="6E6E6E"/>
        </w:rPr>
        <w:t>wy</w:t>
      </w:r>
      <w:r w:rsidR="00196D21" w:rsidRPr="00196D21">
        <w:rPr>
          <w:bCs/>
          <w:color w:val="6E6E6E"/>
        </w:rPr>
        <w:t xml:space="preserve">stępuje zwiększone </w:t>
      </w:r>
      <w:r w:rsidR="00554A7D">
        <w:rPr>
          <w:bCs/>
          <w:color w:val="6E6E6E"/>
        </w:rPr>
        <w:t>zapotrzebowanie na</w:t>
      </w:r>
      <w:r w:rsidR="00554A7D" w:rsidRPr="00196D21">
        <w:rPr>
          <w:bCs/>
          <w:color w:val="6E6E6E"/>
        </w:rPr>
        <w:t xml:space="preserve"> </w:t>
      </w:r>
      <w:r w:rsidR="00196D21" w:rsidRPr="00196D21">
        <w:rPr>
          <w:bCs/>
          <w:color w:val="6E6E6E"/>
        </w:rPr>
        <w:t>składnik</w:t>
      </w:r>
      <w:r w:rsidR="00554A7D">
        <w:rPr>
          <w:bCs/>
          <w:color w:val="6E6E6E"/>
        </w:rPr>
        <w:t>i</w:t>
      </w:r>
      <w:r w:rsidR="00196D21" w:rsidRPr="00196D21">
        <w:rPr>
          <w:bCs/>
          <w:color w:val="6E6E6E"/>
        </w:rPr>
        <w:t xml:space="preserve"> odżywcz</w:t>
      </w:r>
      <w:r w:rsidR="00554A7D">
        <w:rPr>
          <w:bCs/>
          <w:color w:val="6E6E6E"/>
        </w:rPr>
        <w:t>e</w:t>
      </w:r>
      <w:r w:rsidR="00196D21" w:rsidRPr="00196D21">
        <w:rPr>
          <w:bCs/>
          <w:color w:val="6E6E6E"/>
        </w:rPr>
        <w:t xml:space="preserve">, które są niezbędne do </w:t>
      </w:r>
      <w:r w:rsidR="00F705DF">
        <w:rPr>
          <w:bCs/>
          <w:color w:val="6E6E6E"/>
        </w:rPr>
        <w:t>regeneracji</w:t>
      </w:r>
      <w:r w:rsidR="00196D21" w:rsidRPr="00196D21">
        <w:rPr>
          <w:bCs/>
          <w:color w:val="6E6E6E"/>
        </w:rPr>
        <w:t>.</w:t>
      </w:r>
      <w:r w:rsidR="00F705DF">
        <w:rPr>
          <w:bCs/>
          <w:color w:val="6E6E6E"/>
        </w:rPr>
        <w:t xml:space="preserve"> </w:t>
      </w:r>
      <w:r w:rsidR="00196D21" w:rsidRPr="00196D21">
        <w:rPr>
          <w:bCs/>
          <w:color w:val="6E6E6E"/>
        </w:rPr>
        <w:t xml:space="preserve">– </w:t>
      </w:r>
      <w:r w:rsidR="00196D21" w:rsidRPr="007966AA">
        <w:rPr>
          <w:bCs/>
          <w:i/>
          <w:iCs/>
          <w:color w:val="6E6E6E"/>
        </w:rPr>
        <w:t xml:space="preserve">Proces gojenia rany wymaga wytworzenia nowych tkanek i jest procesem pochłaniającym spore ilości energii. </w:t>
      </w:r>
      <w:r>
        <w:rPr>
          <w:bCs/>
          <w:i/>
          <w:iCs/>
          <w:color w:val="6E6E6E"/>
        </w:rPr>
        <w:t>Dlatego a</w:t>
      </w:r>
      <w:r w:rsidR="00196D21" w:rsidRPr="007966AA">
        <w:rPr>
          <w:bCs/>
          <w:i/>
          <w:iCs/>
          <w:color w:val="6E6E6E"/>
        </w:rPr>
        <w:t>by mógł przebiegać prawidłowo</w:t>
      </w:r>
      <w:r>
        <w:rPr>
          <w:bCs/>
          <w:i/>
          <w:iCs/>
          <w:color w:val="6E6E6E"/>
        </w:rPr>
        <w:t>,</w:t>
      </w:r>
      <w:r w:rsidR="00196D21" w:rsidRPr="007966AA">
        <w:rPr>
          <w:bCs/>
          <w:i/>
          <w:iCs/>
          <w:color w:val="6E6E6E"/>
        </w:rPr>
        <w:t xml:space="preserve"> organizm musi otrzymywać odpowiednią ilość składników odżywczych, w tym białka oraz właśnie energii. Zapotrzebowanie na energię u</w:t>
      </w:r>
      <w:r w:rsidR="00F705DF">
        <w:rPr>
          <w:bCs/>
          <w:i/>
          <w:iCs/>
          <w:color w:val="6E6E6E"/>
        </w:rPr>
        <w:t> </w:t>
      </w:r>
      <w:r w:rsidR="00196D21" w:rsidRPr="007966AA">
        <w:rPr>
          <w:bCs/>
          <w:i/>
          <w:iCs/>
          <w:color w:val="6E6E6E"/>
        </w:rPr>
        <w:t xml:space="preserve">chorego z odleżyną wzrasta około 1,5 </w:t>
      </w:r>
      <w:proofErr w:type="spellStart"/>
      <w:r w:rsidR="00196D21" w:rsidRPr="007966AA">
        <w:rPr>
          <w:bCs/>
          <w:i/>
          <w:iCs/>
          <w:color w:val="6E6E6E"/>
        </w:rPr>
        <w:t>raz</w:t>
      </w:r>
      <w:r w:rsidR="00251D47">
        <w:rPr>
          <w:bCs/>
          <w:i/>
          <w:iCs/>
          <w:color w:val="6E6E6E"/>
        </w:rPr>
        <w:t>a</w:t>
      </w:r>
      <w:proofErr w:type="spellEnd"/>
      <w:r w:rsidR="00196D21" w:rsidRPr="007966AA">
        <w:rPr>
          <w:bCs/>
          <w:i/>
          <w:iCs/>
          <w:color w:val="6E6E6E"/>
        </w:rPr>
        <w:t xml:space="preserve"> w stosunku do zapotrzebowania osoby zdrowej, a w przypadku rozległych ran może być jeszcze większe. </w:t>
      </w:r>
      <w:r w:rsidR="00251D47">
        <w:rPr>
          <w:bCs/>
          <w:i/>
          <w:iCs/>
          <w:color w:val="6E6E6E"/>
        </w:rPr>
        <w:t xml:space="preserve">Warto w takich sytuacjach zapytać lekarza o </w:t>
      </w:r>
      <w:r w:rsidR="00196D21" w:rsidRPr="007966AA">
        <w:rPr>
          <w:bCs/>
          <w:i/>
          <w:iCs/>
          <w:color w:val="6E6E6E"/>
        </w:rPr>
        <w:t>żywienie medyczne, które dostarcza potrzebną ilość energii, białka,</w:t>
      </w:r>
      <w:r w:rsidR="00554A7D">
        <w:rPr>
          <w:bCs/>
          <w:i/>
          <w:iCs/>
          <w:color w:val="6E6E6E"/>
        </w:rPr>
        <w:t xml:space="preserve"> witamin,</w:t>
      </w:r>
      <w:r w:rsidR="00196D21" w:rsidRPr="007966AA">
        <w:rPr>
          <w:bCs/>
          <w:i/>
          <w:iCs/>
          <w:color w:val="6E6E6E"/>
        </w:rPr>
        <w:t xml:space="preserve"> makro i mikroelementów</w:t>
      </w:r>
      <w:r w:rsidR="00B448F7">
        <w:rPr>
          <w:bCs/>
          <w:i/>
          <w:iCs/>
          <w:color w:val="6E6E6E"/>
        </w:rPr>
        <w:t xml:space="preserve"> i dzięki temu</w:t>
      </w:r>
      <w:r w:rsidR="00196D21" w:rsidRPr="007966AA">
        <w:rPr>
          <w:bCs/>
          <w:i/>
          <w:iCs/>
          <w:color w:val="6E6E6E"/>
        </w:rPr>
        <w:t xml:space="preserve"> wspiera </w:t>
      </w:r>
      <w:r w:rsidR="00B448F7">
        <w:rPr>
          <w:bCs/>
          <w:i/>
          <w:iCs/>
          <w:color w:val="6E6E6E"/>
        </w:rPr>
        <w:t>gojenie</w:t>
      </w:r>
      <w:r w:rsidR="007966AA">
        <w:rPr>
          <w:bCs/>
          <w:color w:val="6E6E6E"/>
        </w:rPr>
        <w:t xml:space="preserve"> – tłumaczy Paweł Urbańczyk, pielęgniarz z poradni żywieniowej. </w:t>
      </w:r>
      <w:r w:rsidR="00196D21" w:rsidRPr="00196D21">
        <w:rPr>
          <w:bCs/>
          <w:color w:val="6E6E6E"/>
        </w:rPr>
        <w:t xml:space="preserve"> </w:t>
      </w:r>
    </w:p>
    <w:p w14:paraId="7C68B968" w14:textId="658FDCBC" w:rsidR="00196D21" w:rsidRPr="00196D21" w:rsidRDefault="00196D21" w:rsidP="00196D21">
      <w:pPr>
        <w:jc w:val="both"/>
        <w:rPr>
          <w:b/>
          <w:color w:val="6E6E6E"/>
        </w:rPr>
      </w:pPr>
      <w:r w:rsidRPr="00196D21">
        <w:rPr>
          <w:b/>
          <w:color w:val="6E6E6E"/>
        </w:rPr>
        <w:t>Nie rezygnuj z ruchu</w:t>
      </w:r>
    </w:p>
    <w:p w14:paraId="37F9DD4C" w14:textId="0252F7F7" w:rsidR="00196D21" w:rsidRPr="00196D21" w:rsidRDefault="00196D21" w:rsidP="00196D21">
      <w:pPr>
        <w:jc w:val="both"/>
        <w:rPr>
          <w:bCs/>
          <w:color w:val="6E6E6E"/>
        </w:rPr>
      </w:pPr>
      <w:r w:rsidRPr="00196D21">
        <w:rPr>
          <w:bCs/>
          <w:color w:val="6E6E6E"/>
        </w:rPr>
        <w:t xml:space="preserve">Aktywność ruchowa jest kolejnym elementem efektywnego </w:t>
      </w:r>
      <w:r w:rsidR="00554A7D">
        <w:rPr>
          <w:bCs/>
          <w:color w:val="6E6E6E"/>
        </w:rPr>
        <w:t xml:space="preserve">procesu </w:t>
      </w:r>
      <w:r w:rsidRPr="00196D21">
        <w:rPr>
          <w:bCs/>
          <w:color w:val="6E6E6E"/>
        </w:rPr>
        <w:t xml:space="preserve">zdrowienia pacjentów po operacjach. </w:t>
      </w:r>
      <w:r w:rsidR="006630EB">
        <w:rPr>
          <w:bCs/>
          <w:color w:val="6E6E6E"/>
        </w:rPr>
        <w:br/>
      </w:r>
      <w:r w:rsidRPr="00196D21">
        <w:rPr>
          <w:bCs/>
          <w:color w:val="6E6E6E"/>
        </w:rPr>
        <w:t>W zależności od kondycji chorego zachęca się go do aktywności fizycznej już w pierwszej dobie po operacji. Początkowo są to zazwyczaj proste ćwiczenia i niewielki</w:t>
      </w:r>
      <w:r w:rsidR="00F705DF">
        <w:rPr>
          <w:bCs/>
          <w:color w:val="6E6E6E"/>
        </w:rPr>
        <w:t>e</w:t>
      </w:r>
      <w:r w:rsidRPr="00196D21">
        <w:rPr>
          <w:bCs/>
          <w:color w:val="6E6E6E"/>
        </w:rPr>
        <w:t xml:space="preserve"> ruchy wykonywane pod nadzorem fizjoterapeuty lub pielęgniarki. Samo wstanie z łóżka i przejście kilku kroków to już bardzo istotny element usprawniania. </w:t>
      </w:r>
      <w:r w:rsidR="006630EB">
        <w:rPr>
          <w:bCs/>
          <w:color w:val="6E6E6E"/>
        </w:rPr>
        <w:br/>
      </w:r>
      <w:r w:rsidRPr="00196D21">
        <w:rPr>
          <w:bCs/>
          <w:color w:val="6E6E6E"/>
        </w:rPr>
        <w:t xml:space="preserve">Z czasem intensywność aktywności ulega zwiększeniu, a czas jej trwania wydłuża się. </w:t>
      </w:r>
      <w:r w:rsidR="00B16983">
        <w:rPr>
          <w:bCs/>
          <w:color w:val="6E6E6E"/>
        </w:rPr>
        <w:t>Ruch m</w:t>
      </w:r>
      <w:r w:rsidRPr="00196D21">
        <w:rPr>
          <w:bCs/>
          <w:color w:val="6E6E6E"/>
        </w:rPr>
        <w:t>a kluczowe znaczenie dla utrzymania prawidłowej pracy i siły mięśni, pomaga także zapobiegać utracie tkanki mięśniowej.</w:t>
      </w:r>
    </w:p>
    <w:p w14:paraId="5A8858FE" w14:textId="174501A1" w:rsidR="00196D21" w:rsidRPr="00196D21" w:rsidRDefault="00196D21" w:rsidP="00196D21">
      <w:pPr>
        <w:jc w:val="both"/>
        <w:rPr>
          <w:b/>
          <w:color w:val="6E6E6E"/>
        </w:rPr>
      </w:pPr>
      <w:r w:rsidRPr="00196D21">
        <w:rPr>
          <w:b/>
          <w:color w:val="6E6E6E"/>
        </w:rPr>
        <w:t>Nie ignoruj zaleceń specjalistów</w:t>
      </w:r>
    </w:p>
    <w:p w14:paraId="432D5083" w14:textId="43FF8038" w:rsidR="00C91CB8" w:rsidRDefault="00196D21" w:rsidP="00C91CB8">
      <w:pPr>
        <w:jc w:val="both"/>
        <w:rPr>
          <w:bCs/>
          <w:color w:val="6E6E6E"/>
        </w:rPr>
      </w:pPr>
      <w:r w:rsidRPr="00196D21">
        <w:rPr>
          <w:bCs/>
          <w:color w:val="6E6E6E"/>
        </w:rPr>
        <w:t>Unikanie wizyt kontrolnych, nieprzyjmowanie przepisanych leków, nieodpowiednia pielęgnacja rany pooperacyjnej lub zaniedbywanie zaleconego przez dietetyka czy lekarza sposobu odżywiania</w:t>
      </w:r>
      <w:r w:rsidR="00F705DF">
        <w:rPr>
          <w:bCs/>
          <w:color w:val="6E6E6E"/>
        </w:rPr>
        <w:t>, t</w:t>
      </w:r>
      <w:r w:rsidRPr="00196D21">
        <w:rPr>
          <w:bCs/>
          <w:color w:val="6E6E6E"/>
        </w:rPr>
        <w:t xml:space="preserve">o </w:t>
      </w:r>
      <w:r w:rsidR="00F705DF">
        <w:rPr>
          <w:bCs/>
          <w:color w:val="6E6E6E"/>
        </w:rPr>
        <w:t xml:space="preserve">niektóre </w:t>
      </w:r>
      <w:r w:rsidRPr="00196D21">
        <w:rPr>
          <w:bCs/>
          <w:color w:val="6E6E6E"/>
        </w:rPr>
        <w:t xml:space="preserve">błędy popełniane przez pacjentów </w:t>
      </w:r>
      <w:r w:rsidR="00251D47">
        <w:rPr>
          <w:bCs/>
          <w:color w:val="6E6E6E"/>
        </w:rPr>
        <w:t xml:space="preserve">po operacji </w:t>
      </w:r>
      <w:r w:rsidRPr="00196D21">
        <w:rPr>
          <w:bCs/>
          <w:color w:val="6E6E6E"/>
        </w:rPr>
        <w:t xml:space="preserve">i </w:t>
      </w:r>
      <w:r w:rsidR="00251D47">
        <w:rPr>
          <w:bCs/>
          <w:color w:val="6E6E6E"/>
        </w:rPr>
        <w:t xml:space="preserve">ich </w:t>
      </w:r>
      <w:r w:rsidRPr="00196D21">
        <w:rPr>
          <w:bCs/>
          <w:color w:val="6E6E6E"/>
        </w:rPr>
        <w:t xml:space="preserve">opiekunów. – </w:t>
      </w:r>
      <w:r w:rsidRPr="006B0792">
        <w:rPr>
          <w:bCs/>
          <w:i/>
          <w:iCs/>
          <w:color w:val="6E6E6E"/>
        </w:rPr>
        <w:t xml:space="preserve">Podstawową zasadą, której </w:t>
      </w:r>
      <w:r w:rsidR="00554A7D" w:rsidRPr="006B0792">
        <w:rPr>
          <w:bCs/>
          <w:i/>
          <w:iCs/>
          <w:color w:val="6E6E6E"/>
        </w:rPr>
        <w:t>należy przestrzegać</w:t>
      </w:r>
      <w:r w:rsidRPr="006B0792">
        <w:rPr>
          <w:bCs/>
          <w:i/>
          <w:iCs/>
          <w:color w:val="6E6E6E"/>
        </w:rPr>
        <w:t xml:space="preserve">, aby proces rekonwalescencji przebiegł prawidłowo, to stosowanie się do zaleceń lekarza prowadzącego oraz innych specjalistów zespołu medycznego. Pacjenci, chcąc skrócić czas rekonwalescencji po operacji, zbyt szybko porzucają wyznaczone rekomendacje. A w niektórych przypadkach, takich jak </w:t>
      </w:r>
      <w:r w:rsidRPr="006B0792">
        <w:rPr>
          <w:bCs/>
          <w:i/>
          <w:iCs/>
          <w:color w:val="6E6E6E"/>
        </w:rPr>
        <w:lastRenderedPageBreak/>
        <w:t>odżywianie organizmu długofalowość i regularność są kluczowe w odzyskiwaniu sprawności</w:t>
      </w:r>
      <w:r w:rsidRPr="00196D21">
        <w:rPr>
          <w:bCs/>
          <w:color w:val="6E6E6E"/>
        </w:rPr>
        <w:t xml:space="preserve"> – dodaj</w:t>
      </w:r>
      <w:r w:rsidR="006B0792">
        <w:rPr>
          <w:bCs/>
          <w:color w:val="6E6E6E"/>
        </w:rPr>
        <w:t xml:space="preserve">e pielęgniarz. </w:t>
      </w:r>
    </w:p>
    <w:p w14:paraId="4FD2E701" w14:textId="1CB0CA0C" w:rsidR="007C5690" w:rsidRPr="00196D21" w:rsidRDefault="007C5690" w:rsidP="007C5690">
      <w:pPr>
        <w:jc w:val="both"/>
        <w:rPr>
          <w:b/>
          <w:color w:val="6E6E6E"/>
        </w:rPr>
      </w:pPr>
      <w:r w:rsidRPr="00196D21">
        <w:rPr>
          <w:b/>
          <w:color w:val="6E6E6E"/>
        </w:rPr>
        <w:t xml:space="preserve">Nie </w:t>
      </w:r>
      <w:r w:rsidR="00251D47">
        <w:rPr>
          <w:b/>
          <w:color w:val="6E6E6E"/>
        </w:rPr>
        <w:t>zapominaj o odpoczynku fizycznym i psychicznym</w:t>
      </w:r>
    </w:p>
    <w:p w14:paraId="2BCF6E9A" w14:textId="200A4CDA" w:rsidR="007C5690" w:rsidRDefault="00AB28F8" w:rsidP="00C91CB8">
      <w:pPr>
        <w:jc w:val="both"/>
        <w:rPr>
          <w:bCs/>
          <w:color w:val="6E6E6E"/>
        </w:rPr>
      </w:pPr>
      <w:r>
        <w:rPr>
          <w:bCs/>
          <w:color w:val="6E6E6E"/>
        </w:rPr>
        <w:t xml:space="preserve">Jak już zostało wspomniane, aktywność fizyczna jest ważna, jednak trzeba zachować umiar. </w:t>
      </w:r>
      <w:r w:rsidR="007C5690">
        <w:rPr>
          <w:bCs/>
          <w:color w:val="6E6E6E"/>
        </w:rPr>
        <w:t>Ważne w</w:t>
      </w:r>
      <w:r>
        <w:rPr>
          <w:bCs/>
          <w:color w:val="6E6E6E"/>
        </w:rPr>
        <w:t> </w:t>
      </w:r>
      <w:r w:rsidR="007C5690">
        <w:rPr>
          <w:bCs/>
          <w:color w:val="6E6E6E"/>
        </w:rPr>
        <w:t xml:space="preserve">powrocie do zdrowia jest nie tylko </w:t>
      </w:r>
      <w:r>
        <w:rPr>
          <w:bCs/>
          <w:color w:val="6E6E6E"/>
        </w:rPr>
        <w:t>zadbanie o odpoczynek dla ciała, ale też komfort</w:t>
      </w:r>
      <w:r w:rsidR="007C5690">
        <w:rPr>
          <w:bCs/>
          <w:color w:val="6E6E6E"/>
        </w:rPr>
        <w:t xml:space="preserve"> psychiczn</w:t>
      </w:r>
      <w:r>
        <w:rPr>
          <w:bCs/>
          <w:color w:val="6E6E6E"/>
        </w:rPr>
        <w:t>y</w:t>
      </w:r>
      <w:r w:rsidR="007C5690">
        <w:rPr>
          <w:bCs/>
          <w:color w:val="6E6E6E"/>
        </w:rPr>
        <w:t>. Pobyt w</w:t>
      </w:r>
      <w:r>
        <w:rPr>
          <w:bCs/>
          <w:color w:val="6E6E6E"/>
        </w:rPr>
        <w:t> </w:t>
      </w:r>
      <w:r w:rsidR="007C5690">
        <w:rPr>
          <w:bCs/>
          <w:color w:val="6E6E6E"/>
        </w:rPr>
        <w:t xml:space="preserve">szpitalu, rozłąka z bliskimi, obawa o własne zdrowie – przejście operacji i proces rekonwalescencji mogą wiązać się z wieloma zmartwieniami i stresem, którego negatywny wpływ na zdrowie jest od dawna udowodniony. – </w:t>
      </w:r>
      <w:r w:rsidR="007C5690" w:rsidRPr="007C5690">
        <w:rPr>
          <w:bCs/>
          <w:i/>
          <w:iCs/>
          <w:color w:val="6E6E6E"/>
        </w:rPr>
        <w:t xml:space="preserve">Nadmierny stres jest czynnikiem </w:t>
      </w:r>
      <w:r w:rsidR="007C5690">
        <w:rPr>
          <w:bCs/>
          <w:i/>
          <w:iCs/>
          <w:color w:val="6E6E6E"/>
        </w:rPr>
        <w:t xml:space="preserve">bardzo </w:t>
      </w:r>
      <w:r w:rsidR="007C5690" w:rsidRPr="007C5690">
        <w:rPr>
          <w:bCs/>
          <w:i/>
          <w:iCs/>
          <w:color w:val="6E6E6E"/>
        </w:rPr>
        <w:t>niekorzystnym</w:t>
      </w:r>
      <w:r w:rsidR="007C5690">
        <w:rPr>
          <w:bCs/>
          <w:i/>
          <w:iCs/>
          <w:color w:val="6E6E6E"/>
        </w:rPr>
        <w:t xml:space="preserve"> dla pacjenta</w:t>
      </w:r>
      <w:r w:rsidR="007C5690" w:rsidRPr="007C5690">
        <w:rPr>
          <w:bCs/>
          <w:i/>
          <w:iCs/>
          <w:color w:val="6E6E6E"/>
        </w:rPr>
        <w:t>, może powodować zaostrzenie dolegliwości chorobowych</w:t>
      </w:r>
      <w:r w:rsidR="007C5690">
        <w:rPr>
          <w:bCs/>
          <w:i/>
          <w:iCs/>
          <w:color w:val="6E6E6E"/>
        </w:rPr>
        <w:t xml:space="preserve"> i</w:t>
      </w:r>
      <w:r w:rsidR="007C5690" w:rsidRPr="007C5690">
        <w:rPr>
          <w:bCs/>
          <w:i/>
          <w:iCs/>
          <w:color w:val="6E6E6E"/>
        </w:rPr>
        <w:t xml:space="preserve"> </w:t>
      </w:r>
      <w:r w:rsidR="007C5690">
        <w:rPr>
          <w:bCs/>
          <w:i/>
          <w:iCs/>
          <w:color w:val="6E6E6E"/>
        </w:rPr>
        <w:t>opóźn</w:t>
      </w:r>
      <w:r w:rsidR="00875A71">
        <w:rPr>
          <w:bCs/>
          <w:i/>
          <w:iCs/>
          <w:color w:val="6E6E6E"/>
        </w:rPr>
        <w:t>ienie</w:t>
      </w:r>
      <w:r w:rsidR="007C5690">
        <w:rPr>
          <w:bCs/>
          <w:i/>
          <w:iCs/>
          <w:color w:val="6E6E6E"/>
        </w:rPr>
        <w:t xml:space="preserve"> proces</w:t>
      </w:r>
      <w:r w:rsidR="00875A71">
        <w:rPr>
          <w:bCs/>
          <w:i/>
          <w:iCs/>
          <w:color w:val="6E6E6E"/>
        </w:rPr>
        <w:t>u</w:t>
      </w:r>
      <w:r w:rsidR="007C5690">
        <w:rPr>
          <w:bCs/>
          <w:i/>
          <w:iCs/>
          <w:color w:val="6E6E6E"/>
        </w:rPr>
        <w:t xml:space="preserve"> zdrowienia, wpływając na przykład na spadek apetytu chorego</w:t>
      </w:r>
      <w:r w:rsidR="00875A71">
        <w:rPr>
          <w:bCs/>
          <w:i/>
          <w:iCs/>
          <w:color w:val="6E6E6E"/>
        </w:rPr>
        <w:t xml:space="preserve"> czy brak motywacji i</w:t>
      </w:r>
      <w:r w:rsidR="007C5690">
        <w:rPr>
          <w:bCs/>
          <w:i/>
          <w:iCs/>
          <w:color w:val="6E6E6E"/>
        </w:rPr>
        <w:t xml:space="preserve"> niechęć do podejmowania rehabilitacji</w:t>
      </w:r>
      <w:r w:rsidR="00251D47">
        <w:rPr>
          <w:bCs/>
          <w:i/>
          <w:iCs/>
          <w:color w:val="6E6E6E"/>
        </w:rPr>
        <w:t>. Z kolei osoby, które myślą pozytywnie, częściej znajdują siły do realizacji zaleceń lekarskich</w:t>
      </w:r>
      <w:r w:rsidR="00875A71">
        <w:rPr>
          <w:bCs/>
          <w:i/>
          <w:iCs/>
          <w:color w:val="6E6E6E"/>
        </w:rPr>
        <w:t xml:space="preserve"> </w:t>
      </w:r>
      <w:r w:rsidR="007C5690" w:rsidRPr="00196D21">
        <w:rPr>
          <w:bCs/>
          <w:color w:val="6E6E6E"/>
        </w:rPr>
        <w:t xml:space="preserve">– wyjaśnia Adrianna Sobol, </w:t>
      </w:r>
      <w:proofErr w:type="spellStart"/>
      <w:r w:rsidR="007C5690" w:rsidRPr="00196D21">
        <w:rPr>
          <w:bCs/>
          <w:color w:val="6E6E6E"/>
        </w:rPr>
        <w:t>psychoonkolożka</w:t>
      </w:r>
      <w:proofErr w:type="spellEnd"/>
      <w:r w:rsidR="007C5690" w:rsidRPr="00196D21">
        <w:rPr>
          <w:bCs/>
          <w:color w:val="6E6E6E"/>
        </w:rPr>
        <w:t xml:space="preserve"> z Warszawskiego Uniwersytetu Medycznego. </w:t>
      </w:r>
      <w:r w:rsidR="00875A71">
        <w:rPr>
          <w:bCs/>
          <w:color w:val="6E6E6E"/>
        </w:rPr>
        <w:t>–</w:t>
      </w:r>
      <w:r w:rsidR="00875A71">
        <w:rPr>
          <w:bCs/>
          <w:i/>
          <w:iCs/>
          <w:color w:val="6E6E6E"/>
        </w:rPr>
        <w:t>Dlatego po wyjściu ze szpitala warto zadbać o pełny, także psychiczny wypoczynek i unikanie wszelkich dodatkowych stresów.</w:t>
      </w:r>
    </w:p>
    <w:p w14:paraId="2B953CAA" w14:textId="77777777" w:rsidR="00196D21" w:rsidRPr="00196D21" w:rsidRDefault="00196D21" w:rsidP="00C91CB8">
      <w:pPr>
        <w:jc w:val="both"/>
        <w:rPr>
          <w:bCs/>
          <w:color w:val="6E6E6E"/>
        </w:rPr>
      </w:pPr>
    </w:p>
    <w:p w14:paraId="506EFFB5" w14:textId="16E4B51F" w:rsidR="00A511C7" w:rsidRDefault="00A511C7" w:rsidP="00A511C7">
      <w:pPr>
        <w:jc w:val="center"/>
        <w:rPr>
          <w:color w:val="6E6E6E"/>
        </w:rPr>
      </w:pPr>
      <w:r>
        <w:rPr>
          <w:color w:val="6E6E6E"/>
        </w:rPr>
        <w:t>***</w:t>
      </w:r>
    </w:p>
    <w:p w14:paraId="0ED866A8" w14:textId="04703EE3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</w:pPr>
      <w:r w:rsidRPr="00A511C7"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>O kampanii</w:t>
      </w:r>
      <w:r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 xml:space="preserve"> „Żywienie medyczne – Twoje posiłki w walce z chorobą”</w:t>
      </w:r>
    </w:p>
    <w:p w14:paraId="65C4A9A1" w14:textId="77777777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33D3ECC1" w14:textId="31F64E81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Kampania edukacyjna „Żywienie medyczne – Twoje posiłki w walce z chorobą” ma na celu budowanie świadomości na temat żywienia medycznego jako integralnego elementu opieki zdrowotnej oraz wsparcie pacjentów i ich opiekunów w</w:t>
      </w:r>
      <w:r w:rsidR="0026425B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 </w:t>
      </w: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procesie leczenia. Od pierwszej edycji zrealizowanej w 2016 działania obejmowały edukację na temat wsparcia żywieniowego w chorobie nowotworowej. W kolejnych latach kampania została poszerzona o aktywności dedykowane neurologii, a także dotyczące żywienia dojelitowego przez specjalny dostęp do przewodu pokarmowego (bezpośrednio do żołądka lub jelita) z uwzględnieniem różnych jednostek chorobowych, w których jest ono stosowane.</w:t>
      </w:r>
    </w:p>
    <w:p w14:paraId="642E871F" w14:textId="77777777" w:rsidR="00A511C7" w:rsidRPr="00A511C7" w:rsidRDefault="00A511C7" w:rsidP="00A511C7">
      <w:pPr>
        <w:pStyle w:val="Normalny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 </w:t>
      </w:r>
    </w:p>
    <w:p w14:paraId="6802AD64" w14:textId="204B2192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Inicjatywa została powołana w 2016 roku przez firmę Nutricia. </w:t>
      </w:r>
      <w:r w:rsidRPr="00A511C7">
        <w:rPr>
          <w:rFonts w:asciiTheme="minorHAnsi" w:eastAsiaTheme="minorHAnsi" w:hAnsiTheme="minorHAnsi" w:cstheme="minorBidi"/>
          <w:b/>
          <w:bCs/>
          <w:color w:val="6E6E6E"/>
          <w:sz w:val="20"/>
          <w:szCs w:val="20"/>
          <w:lang w:eastAsia="en-US"/>
        </w:rPr>
        <w:t>Od V edycji realizowana jest przez </w:t>
      </w:r>
      <w:hyperlink r:id="rId11" w:history="1">
        <w:r w:rsidRPr="00A511C7">
          <w:rPr>
            <w:rFonts w:asciiTheme="minorHAnsi" w:eastAsiaTheme="minorHAnsi" w:hAnsiTheme="minorHAnsi" w:cstheme="minorBidi"/>
            <w:color w:val="6E6E6E"/>
            <w:sz w:val="20"/>
            <w:szCs w:val="20"/>
            <w:lang w:eastAsia="en-US"/>
          </w:rPr>
          <w:t>Fundację Nutricia</w:t>
        </w:r>
      </w:hyperlink>
      <w:r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.</w:t>
      </w:r>
    </w:p>
    <w:p w14:paraId="49C2BC34" w14:textId="03891B1C" w:rsidR="00A511C7" w:rsidRPr="00A511C7" w:rsidRDefault="00A511C7" w:rsidP="00A511C7">
      <w:pPr>
        <w:pStyle w:val="Normalny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075D77AC" w14:textId="499E7D04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Kampanię od początku powstania wspiera wiele towarzystw naukowych i organizacji pacjentów. </w:t>
      </w:r>
    </w:p>
    <w:p w14:paraId="602EEEB9" w14:textId="77777777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0B111277" w14:textId="56BC4ED9" w:rsidR="00A511C7" w:rsidRDefault="00713A16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hyperlink r:id="rId12" w:history="1">
        <w:r w:rsidR="00A511C7" w:rsidRPr="00B71F18">
          <w:rPr>
            <w:rStyle w:val="Hipercze"/>
            <w:rFonts w:asciiTheme="minorHAnsi" w:eastAsiaTheme="minorHAnsi" w:hAnsiTheme="minorHAnsi" w:cstheme="minorBidi"/>
            <w:sz w:val="20"/>
            <w:szCs w:val="20"/>
            <w:lang w:eastAsia="en-US"/>
          </w:rPr>
          <w:t>www.zywieniemedyczne.pl</w:t>
        </w:r>
      </w:hyperlink>
      <w:r w:rsid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 xml:space="preserve"> </w:t>
      </w:r>
    </w:p>
    <w:p w14:paraId="1129C456" w14:textId="0A5DC121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6C359D56" w14:textId="2382C70E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</w:pPr>
      <w:r w:rsidRPr="00A511C7"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 xml:space="preserve">O </w:t>
      </w:r>
      <w:r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>Fundacji Nutricia</w:t>
      </w:r>
    </w:p>
    <w:p w14:paraId="49C6D712" w14:textId="3A382B55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49FDFDD5" w14:textId="666D021A" w:rsidR="00A511C7" w:rsidRPr="00A511C7" w:rsidRDefault="00A511C7" w:rsidP="00A511C7">
      <w:pPr>
        <w:jc w:val="both"/>
        <w:rPr>
          <w:color w:val="6E6E6E"/>
          <w:sz w:val="20"/>
          <w:szCs w:val="20"/>
        </w:rPr>
      </w:pPr>
      <w:r w:rsidRPr="00A511C7">
        <w:rPr>
          <w:color w:val="6E6E6E"/>
          <w:sz w:val="20"/>
          <w:szCs w:val="20"/>
        </w:rPr>
        <w:t>Fundacja Nutricia została powołana w 1996 r. przez firmę Nutricia Polska Sp. z o.o. Od początku swojej działalności Fundacja podnosi świadomość na temat roli żywienia, początkowo angażując się m.in. w edukację żywieniową w</w:t>
      </w:r>
      <w:r w:rsidR="00BB64D6">
        <w:rPr>
          <w:color w:val="6E6E6E"/>
          <w:sz w:val="20"/>
          <w:szCs w:val="20"/>
        </w:rPr>
        <w:t> </w:t>
      </w:r>
      <w:r w:rsidRPr="00A511C7">
        <w:rPr>
          <w:color w:val="6E6E6E"/>
          <w:sz w:val="20"/>
          <w:szCs w:val="20"/>
        </w:rPr>
        <w:t xml:space="preserve">okresie 1000 pierwszych dni życia dziecka. Od 2019 r. misją Fundacji Nutricia jest edukacja o roli żywienia na różnych etapach życia człowieka. Swoje działania Fundacja kieruje do dzieci i rodziców, pacjentów oraz ich bliskich, przedstawicieli środowiska medycznego, instytucji publicznych i organizacji pozarządowych. Fundacja prowadzi ogólnopolskie programy edukacyjne, takie jak: „1000 pierwszych dni dla zdrowia” czy kampania „Żywienie medyczne – Twoje posiłki w walce z chorobą”. Realizuje także ogólnopolski konkurs grantowy, umożliwiając naukowcom prowadzenie badań naukowych z zakresu żywienia człowieka. </w:t>
      </w:r>
    </w:p>
    <w:p w14:paraId="3269B3B2" w14:textId="5F28EFD8" w:rsidR="00436B3A" w:rsidRPr="005B2DB6" w:rsidRDefault="00713A16" w:rsidP="005B2DB6">
      <w:pPr>
        <w:jc w:val="both"/>
        <w:rPr>
          <w:sz w:val="20"/>
        </w:rPr>
      </w:pPr>
      <w:hyperlink r:id="rId13" w:history="1">
        <w:r w:rsidR="00A511C7" w:rsidRPr="00A511C7">
          <w:rPr>
            <w:rStyle w:val="Hipercze"/>
            <w:sz w:val="20"/>
          </w:rPr>
          <w:t>www.fundacjanutricia.pl</w:t>
        </w:r>
      </w:hyperlink>
    </w:p>
    <w:sectPr w:rsidR="00436B3A" w:rsidRPr="005B2DB6" w:rsidSect="0026425B">
      <w:headerReference w:type="default" r:id="rId14"/>
      <w:footerReference w:type="default" r:id="rId15"/>
      <w:pgSz w:w="11906" w:h="16838"/>
      <w:pgMar w:top="1134" w:right="1134" w:bottom="1134" w:left="1134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5D40" w14:textId="77777777" w:rsidR="00713A16" w:rsidRDefault="00713A16" w:rsidP="00E5346A">
      <w:pPr>
        <w:spacing w:after="0" w:line="240" w:lineRule="auto"/>
      </w:pPr>
      <w:r>
        <w:separator/>
      </w:r>
    </w:p>
  </w:endnote>
  <w:endnote w:type="continuationSeparator" w:id="0">
    <w:p w14:paraId="23984DB2" w14:textId="77777777" w:rsidR="00713A16" w:rsidRDefault="00713A16" w:rsidP="00E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86884" w14:textId="48F62D12" w:rsidR="0037198B" w:rsidRDefault="00BB64D6" w:rsidP="00BF6117">
    <w:pPr>
      <w:pStyle w:val="Stopka"/>
      <w:ind w:left="-993"/>
      <w:rPr>
        <w:rFonts w:ascii="Bariol Bold" w:hAnsi="Bariol Bold"/>
        <w:color w:val="51338B"/>
        <w:sz w:val="28"/>
      </w:rPr>
    </w:pPr>
    <w:r>
      <w:rPr>
        <w:rFonts w:ascii="Bariol Bold" w:hAnsi="Bariol Bold"/>
        <w:noProof/>
        <w:color w:val="51338B"/>
        <w:sz w:val="28"/>
        <w:lang w:eastAsia="pl-PL"/>
      </w:rPr>
      <w:drawing>
        <wp:inline distT="0" distB="0" distL="0" distR="0" wp14:anchorId="0B99CE7A" wp14:editId="34E710DF">
          <wp:extent cx="7056120" cy="1346072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132918" cy="1360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882534" w14:textId="44232620" w:rsidR="00E5346A" w:rsidRPr="0037198B" w:rsidRDefault="00E5346A" w:rsidP="00BF6117">
    <w:pPr>
      <w:pStyle w:val="Stopka"/>
      <w:rPr>
        <w:rFonts w:ascii="Bariol Bold" w:hAnsi="Bariol Bold"/>
        <w:color w:val="51338B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0694E" w14:textId="77777777" w:rsidR="00713A16" w:rsidRDefault="00713A16" w:rsidP="00E5346A">
      <w:pPr>
        <w:spacing w:after="0" w:line="240" w:lineRule="auto"/>
      </w:pPr>
      <w:r>
        <w:separator/>
      </w:r>
    </w:p>
  </w:footnote>
  <w:footnote w:type="continuationSeparator" w:id="0">
    <w:p w14:paraId="51B18471" w14:textId="77777777" w:rsidR="00713A16" w:rsidRDefault="00713A16" w:rsidP="00E5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01DC" w14:textId="10FE47A7" w:rsidR="00E5346A" w:rsidRDefault="00E5346A" w:rsidP="00BF6117">
    <w:pPr>
      <w:pStyle w:val="Nagwek"/>
      <w:ind w:right="-283"/>
      <w:jc w:val="right"/>
    </w:pPr>
    <w:r>
      <w:rPr>
        <w:noProof/>
        <w:lang w:eastAsia="pl-PL"/>
      </w:rPr>
      <w:drawing>
        <wp:inline distT="0" distB="0" distL="0" distR="0" wp14:anchorId="788C2401" wp14:editId="334E2BBB">
          <wp:extent cx="1752599" cy="80962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4" t="9573" r="6670" b="9062"/>
                  <a:stretch/>
                </pic:blipFill>
                <pic:spPr bwMode="auto">
                  <a:xfrm>
                    <a:off x="0" y="0"/>
                    <a:ext cx="1758162" cy="812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7A6A36" w14:textId="77777777" w:rsidR="00DE54D2" w:rsidRDefault="00DE54D2" w:rsidP="00073E03">
    <w:pPr>
      <w:pStyle w:val="Nagwek"/>
      <w:ind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C7AA9"/>
    <w:multiLevelType w:val="hybridMultilevel"/>
    <w:tmpl w:val="37CCE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B4A87"/>
    <w:multiLevelType w:val="hybridMultilevel"/>
    <w:tmpl w:val="D5F2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A"/>
    <w:rsid w:val="000248E1"/>
    <w:rsid w:val="00027164"/>
    <w:rsid w:val="000444C0"/>
    <w:rsid w:val="00056357"/>
    <w:rsid w:val="00060339"/>
    <w:rsid w:val="00073E03"/>
    <w:rsid w:val="00086703"/>
    <w:rsid w:val="00095B0D"/>
    <w:rsid w:val="000A7AE4"/>
    <w:rsid w:val="000C1CFF"/>
    <w:rsid w:val="000D3511"/>
    <w:rsid w:val="000D7D91"/>
    <w:rsid w:val="0010274E"/>
    <w:rsid w:val="00107A92"/>
    <w:rsid w:val="00112B3B"/>
    <w:rsid w:val="0011344E"/>
    <w:rsid w:val="00120022"/>
    <w:rsid w:val="001207F4"/>
    <w:rsid w:val="00123F5D"/>
    <w:rsid w:val="00127EB8"/>
    <w:rsid w:val="001357FD"/>
    <w:rsid w:val="00145F45"/>
    <w:rsid w:val="00146C10"/>
    <w:rsid w:val="001509E9"/>
    <w:rsid w:val="00163CCB"/>
    <w:rsid w:val="001739DB"/>
    <w:rsid w:val="00190B90"/>
    <w:rsid w:val="00196D21"/>
    <w:rsid w:val="001A3190"/>
    <w:rsid w:val="001B1FF3"/>
    <w:rsid w:val="001C4987"/>
    <w:rsid w:val="001E7C84"/>
    <w:rsid w:val="001F3D1A"/>
    <w:rsid w:val="00224F48"/>
    <w:rsid w:val="00227DF4"/>
    <w:rsid w:val="00242B61"/>
    <w:rsid w:val="0024564E"/>
    <w:rsid w:val="00246846"/>
    <w:rsid w:val="00247DC9"/>
    <w:rsid w:val="00251D47"/>
    <w:rsid w:val="00261A6F"/>
    <w:rsid w:val="00262296"/>
    <w:rsid w:val="0026425B"/>
    <w:rsid w:val="0027050F"/>
    <w:rsid w:val="002730A6"/>
    <w:rsid w:val="00277D37"/>
    <w:rsid w:val="00281ACC"/>
    <w:rsid w:val="002B5B18"/>
    <w:rsid w:val="002C581F"/>
    <w:rsid w:val="002C629D"/>
    <w:rsid w:val="002C75AE"/>
    <w:rsid w:val="002E3B72"/>
    <w:rsid w:val="002F2E1A"/>
    <w:rsid w:val="00301ADB"/>
    <w:rsid w:val="00307106"/>
    <w:rsid w:val="00310143"/>
    <w:rsid w:val="00311A8A"/>
    <w:rsid w:val="00316C0A"/>
    <w:rsid w:val="00343AC7"/>
    <w:rsid w:val="00370FBF"/>
    <w:rsid w:val="0037198B"/>
    <w:rsid w:val="00394A84"/>
    <w:rsid w:val="003959F9"/>
    <w:rsid w:val="003A0EA7"/>
    <w:rsid w:val="003A216D"/>
    <w:rsid w:val="003C1589"/>
    <w:rsid w:val="003C7CBD"/>
    <w:rsid w:val="0040229F"/>
    <w:rsid w:val="004360BC"/>
    <w:rsid w:val="00436B3A"/>
    <w:rsid w:val="00442B58"/>
    <w:rsid w:val="00445B9C"/>
    <w:rsid w:val="004473FB"/>
    <w:rsid w:val="004563E5"/>
    <w:rsid w:val="0047740D"/>
    <w:rsid w:val="0048420B"/>
    <w:rsid w:val="0048588A"/>
    <w:rsid w:val="004A3DC9"/>
    <w:rsid w:val="004A66C9"/>
    <w:rsid w:val="004B24B6"/>
    <w:rsid w:val="004C3886"/>
    <w:rsid w:val="004D67F3"/>
    <w:rsid w:val="004F13B8"/>
    <w:rsid w:val="004F2971"/>
    <w:rsid w:val="00517458"/>
    <w:rsid w:val="00522534"/>
    <w:rsid w:val="00534CB8"/>
    <w:rsid w:val="00541875"/>
    <w:rsid w:val="00544F85"/>
    <w:rsid w:val="00552697"/>
    <w:rsid w:val="00554A7D"/>
    <w:rsid w:val="00567DB9"/>
    <w:rsid w:val="005921FB"/>
    <w:rsid w:val="0059756E"/>
    <w:rsid w:val="005A18F7"/>
    <w:rsid w:val="005B2DB6"/>
    <w:rsid w:val="005C5863"/>
    <w:rsid w:val="005C5894"/>
    <w:rsid w:val="005D083C"/>
    <w:rsid w:val="005D7E44"/>
    <w:rsid w:val="005E2677"/>
    <w:rsid w:val="005E3547"/>
    <w:rsid w:val="005F2123"/>
    <w:rsid w:val="00610C28"/>
    <w:rsid w:val="00617046"/>
    <w:rsid w:val="006241B9"/>
    <w:rsid w:val="00632A2E"/>
    <w:rsid w:val="00636681"/>
    <w:rsid w:val="006630EB"/>
    <w:rsid w:val="00665F30"/>
    <w:rsid w:val="00673528"/>
    <w:rsid w:val="006B0029"/>
    <w:rsid w:val="006B0792"/>
    <w:rsid w:val="006D0388"/>
    <w:rsid w:val="006D6630"/>
    <w:rsid w:val="006F3946"/>
    <w:rsid w:val="006F4899"/>
    <w:rsid w:val="00702C6D"/>
    <w:rsid w:val="00713A16"/>
    <w:rsid w:val="00717C75"/>
    <w:rsid w:val="0072109E"/>
    <w:rsid w:val="00735271"/>
    <w:rsid w:val="0074571B"/>
    <w:rsid w:val="00747C4A"/>
    <w:rsid w:val="007950EF"/>
    <w:rsid w:val="007966AA"/>
    <w:rsid w:val="007B2F16"/>
    <w:rsid w:val="007B6ED9"/>
    <w:rsid w:val="007C5690"/>
    <w:rsid w:val="007D170E"/>
    <w:rsid w:val="007D1D4E"/>
    <w:rsid w:val="007D2C4C"/>
    <w:rsid w:val="007D35C1"/>
    <w:rsid w:val="007E1374"/>
    <w:rsid w:val="007E4C6A"/>
    <w:rsid w:val="00803716"/>
    <w:rsid w:val="008045F6"/>
    <w:rsid w:val="00810DE5"/>
    <w:rsid w:val="00822FF3"/>
    <w:rsid w:val="0082322E"/>
    <w:rsid w:val="00827EBF"/>
    <w:rsid w:val="00833958"/>
    <w:rsid w:val="00837853"/>
    <w:rsid w:val="00840D3E"/>
    <w:rsid w:val="008574A0"/>
    <w:rsid w:val="00873879"/>
    <w:rsid w:val="00875A71"/>
    <w:rsid w:val="008874D7"/>
    <w:rsid w:val="008A1A11"/>
    <w:rsid w:val="008A35B6"/>
    <w:rsid w:val="008B6BF7"/>
    <w:rsid w:val="008C283A"/>
    <w:rsid w:val="008C3842"/>
    <w:rsid w:val="008C4926"/>
    <w:rsid w:val="008E3A16"/>
    <w:rsid w:val="008E7392"/>
    <w:rsid w:val="00907795"/>
    <w:rsid w:val="009159AD"/>
    <w:rsid w:val="00935FC3"/>
    <w:rsid w:val="00943ED8"/>
    <w:rsid w:val="009457F6"/>
    <w:rsid w:val="00947DFD"/>
    <w:rsid w:val="00952F44"/>
    <w:rsid w:val="0096402A"/>
    <w:rsid w:val="009E4392"/>
    <w:rsid w:val="00A133EB"/>
    <w:rsid w:val="00A36FCA"/>
    <w:rsid w:val="00A44E08"/>
    <w:rsid w:val="00A511C7"/>
    <w:rsid w:val="00A51D2D"/>
    <w:rsid w:val="00A66B20"/>
    <w:rsid w:val="00AB28F8"/>
    <w:rsid w:val="00AC3597"/>
    <w:rsid w:val="00AD03D9"/>
    <w:rsid w:val="00AF0558"/>
    <w:rsid w:val="00B16983"/>
    <w:rsid w:val="00B31C2D"/>
    <w:rsid w:val="00B43BB9"/>
    <w:rsid w:val="00B448F7"/>
    <w:rsid w:val="00B57C72"/>
    <w:rsid w:val="00B602CD"/>
    <w:rsid w:val="00BA41AE"/>
    <w:rsid w:val="00BB0A5C"/>
    <w:rsid w:val="00BB5AC6"/>
    <w:rsid w:val="00BB64D6"/>
    <w:rsid w:val="00BB6555"/>
    <w:rsid w:val="00BB6D93"/>
    <w:rsid w:val="00BD57C3"/>
    <w:rsid w:val="00BD7F92"/>
    <w:rsid w:val="00BF46CB"/>
    <w:rsid w:val="00BF6117"/>
    <w:rsid w:val="00C108A0"/>
    <w:rsid w:val="00C31D45"/>
    <w:rsid w:val="00C32DBE"/>
    <w:rsid w:val="00C34C26"/>
    <w:rsid w:val="00C43F30"/>
    <w:rsid w:val="00C508B0"/>
    <w:rsid w:val="00C5230C"/>
    <w:rsid w:val="00C560B3"/>
    <w:rsid w:val="00C60482"/>
    <w:rsid w:val="00C62593"/>
    <w:rsid w:val="00C64B6B"/>
    <w:rsid w:val="00C91CB8"/>
    <w:rsid w:val="00C94842"/>
    <w:rsid w:val="00CA02E4"/>
    <w:rsid w:val="00CA2598"/>
    <w:rsid w:val="00CA539F"/>
    <w:rsid w:val="00CA5B83"/>
    <w:rsid w:val="00CA6415"/>
    <w:rsid w:val="00CE3572"/>
    <w:rsid w:val="00CE5DCB"/>
    <w:rsid w:val="00CE5FF9"/>
    <w:rsid w:val="00CE67EF"/>
    <w:rsid w:val="00CF2809"/>
    <w:rsid w:val="00D03313"/>
    <w:rsid w:val="00D1544F"/>
    <w:rsid w:val="00D319D9"/>
    <w:rsid w:val="00D349D8"/>
    <w:rsid w:val="00D355E6"/>
    <w:rsid w:val="00D60E5E"/>
    <w:rsid w:val="00D7778B"/>
    <w:rsid w:val="00D952C0"/>
    <w:rsid w:val="00D967E5"/>
    <w:rsid w:val="00DA14EF"/>
    <w:rsid w:val="00DA419D"/>
    <w:rsid w:val="00DB49C9"/>
    <w:rsid w:val="00DC3272"/>
    <w:rsid w:val="00DE04DF"/>
    <w:rsid w:val="00DE1319"/>
    <w:rsid w:val="00DE4514"/>
    <w:rsid w:val="00DE54D2"/>
    <w:rsid w:val="00DF0A74"/>
    <w:rsid w:val="00DF24DC"/>
    <w:rsid w:val="00E03002"/>
    <w:rsid w:val="00E15CA4"/>
    <w:rsid w:val="00E167C5"/>
    <w:rsid w:val="00E21AFE"/>
    <w:rsid w:val="00E31E27"/>
    <w:rsid w:val="00E42509"/>
    <w:rsid w:val="00E5346A"/>
    <w:rsid w:val="00E71A0B"/>
    <w:rsid w:val="00E80FD7"/>
    <w:rsid w:val="00E87FB5"/>
    <w:rsid w:val="00EA2512"/>
    <w:rsid w:val="00EB4F0E"/>
    <w:rsid w:val="00EC555A"/>
    <w:rsid w:val="00EE2016"/>
    <w:rsid w:val="00F30C85"/>
    <w:rsid w:val="00F415EF"/>
    <w:rsid w:val="00F5371C"/>
    <w:rsid w:val="00F56BBB"/>
    <w:rsid w:val="00F705DF"/>
    <w:rsid w:val="00F80345"/>
    <w:rsid w:val="00F94B6C"/>
    <w:rsid w:val="00FB3D6A"/>
    <w:rsid w:val="00FC4D8C"/>
    <w:rsid w:val="00FD127F"/>
    <w:rsid w:val="00FD18DA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C01C8"/>
  <w15:chartTrackingRefBased/>
  <w15:docId w15:val="{6D677F5E-F0E4-4217-BA1B-35B6003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6A"/>
  </w:style>
  <w:style w:type="paragraph" w:styleId="Stopka">
    <w:name w:val="footer"/>
    <w:basedOn w:val="Normalny"/>
    <w:link w:val="StopkaZnak"/>
    <w:uiPriority w:val="99"/>
    <w:unhideWhenUsed/>
    <w:rsid w:val="00E5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6A"/>
  </w:style>
  <w:style w:type="character" w:styleId="Hipercze">
    <w:name w:val="Hyperlink"/>
    <w:basedOn w:val="Domylnaczcionkaakapitu"/>
    <w:uiPriority w:val="99"/>
    <w:unhideWhenUsed/>
    <w:rsid w:val="003719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9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0F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9F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11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1C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E4"/>
    <w:rPr>
      <w:b/>
      <w:bCs/>
      <w:sz w:val="20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40D3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26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acjanutric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ywieniemedyczn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undacjanutricia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6D4AF4B6224EBBB94829D68FAD1E" ma:contentTypeVersion="10" ma:contentTypeDescription="Create a new document." ma:contentTypeScope="" ma:versionID="3b27f3b5f61ea35f23f0bfcf442fb85a">
  <xsd:schema xmlns:xsd="http://www.w3.org/2001/XMLSchema" xmlns:xs="http://www.w3.org/2001/XMLSchema" xmlns:p="http://schemas.microsoft.com/office/2006/metadata/properties" xmlns:ns3="7a2436df-0e59-4fad-bc38-bcd1d18de286" xmlns:ns4="56fde62d-6cdb-48d2-8d2b-caa6f74502d5" targetNamespace="http://schemas.microsoft.com/office/2006/metadata/properties" ma:root="true" ma:fieldsID="b1bd70a8b71f16bcb50e7239ecf2041d" ns3:_="" ns4:_="">
    <xsd:import namespace="7a2436df-0e59-4fad-bc38-bcd1d18de286"/>
    <xsd:import namespace="56fde62d-6cdb-48d2-8d2b-caa6f7450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36df-0e59-4fad-bc38-bcd1d18d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e62d-6cdb-48d2-8d2b-caa6f745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75BD1-896A-4C32-86CA-E28AD83A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436df-0e59-4fad-bc38-bcd1d18de286"/>
    <ds:schemaRef ds:uri="56fde62d-6cdb-48d2-8d2b-caa6f745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547FB-1B4C-4ED8-AD33-B1C1FDAFD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97F8E-2422-49EE-9770-5388FB25F9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DFC97-BA69-4B03-9E84-9A3C663DC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899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Diana</dc:creator>
  <cp:keywords/>
  <dc:description/>
  <cp:lastModifiedBy>SOBOLEWSKA Diana</cp:lastModifiedBy>
  <cp:revision>3</cp:revision>
  <dcterms:created xsi:type="dcterms:W3CDTF">2021-09-16T14:33:00Z</dcterms:created>
  <dcterms:modified xsi:type="dcterms:W3CDTF">2021-09-17T07:51:00Z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0x010100686C6D4AF4B6224EBBB94829D68FAD1E</vt:lpwstr>
  </property>
</Properties>
</file>